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23" w:rsidRPr="000433BA" w:rsidRDefault="005945A0">
      <w:pPr>
        <w:rPr>
          <w:b/>
          <w:sz w:val="24"/>
          <w:szCs w:val="24"/>
        </w:rPr>
      </w:pPr>
      <w:bookmarkStart w:id="0" w:name="_GoBack"/>
      <w:bookmarkEnd w:id="0"/>
      <w:r w:rsidRPr="000433BA">
        <w:rPr>
          <w:b/>
          <w:sz w:val="24"/>
          <w:szCs w:val="24"/>
        </w:rPr>
        <w:t>Proposed 2017-18 Cycle Safety Programme</w:t>
      </w:r>
    </w:p>
    <w:tbl>
      <w:tblPr>
        <w:tblStyle w:val="TableGrid"/>
        <w:tblW w:w="15153" w:type="dxa"/>
        <w:tblInd w:w="-147" w:type="dxa"/>
        <w:tblLayout w:type="fixed"/>
        <w:tblLook w:val="04A0" w:firstRow="1" w:lastRow="0" w:firstColumn="1" w:lastColumn="0" w:noHBand="0" w:noVBand="1"/>
      </w:tblPr>
      <w:tblGrid>
        <w:gridCol w:w="2269"/>
        <w:gridCol w:w="1842"/>
        <w:gridCol w:w="1701"/>
        <w:gridCol w:w="7642"/>
        <w:gridCol w:w="1699"/>
      </w:tblGrid>
      <w:tr w:rsidR="00DE4CD6" w:rsidTr="00DB5B78">
        <w:trPr>
          <w:trHeight w:val="370"/>
        </w:trPr>
        <w:tc>
          <w:tcPr>
            <w:tcW w:w="2269" w:type="dxa"/>
            <w:shd w:val="clear" w:color="auto" w:fill="D9D9D9" w:themeFill="background1" w:themeFillShade="D9"/>
            <w:vAlign w:val="center"/>
          </w:tcPr>
          <w:p w:rsidR="00EC18F2" w:rsidRPr="0060264D" w:rsidRDefault="005945A0" w:rsidP="006D13F7">
            <w:pPr>
              <w:jc w:val="center"/>
              <w:rPr>
                <w:b/>
                <w:sz w:val="24"/>
                <w:szCs w:val="24"/>
              </w:rPr>
            </w:pPr>
            <w:r w:rsidRPr="0060264D">
              <w:rPr>
                <w:b/>
                <w:sz w:val="24"/>
                <w:szCs w:val="24"/>
              </w:rPr>
              <w:t>Project Name</w:t>
            </w:r>
          </w:p>
        </w:tc>
        <w:tc>
          <w:tcPr>
            <w:tcW w:w="1842" w:type="dxa"/>
            <w:shd w:val="clear" w:color="auto" w:fill="D9D9D9" w:themeFill="background1" w:themeFillShade="D9"/>
            <w:vAlign w:val="center"/>
          </w:tcPr>
          <w:p w:rsidR="00EC18F2" w:rsidRPr="0060264D" w:rsidRDefault="005945A0" w:rsidP="006D13F7">
            <w:pPr>
              <w:jc w:val="center"/>
              <w:rPr>
                <w:b/>
                <w:sz w:val="24"/>
                <w:szCs w:val="24"/>
              </w:rPr>
            </w:pPr>
            <w:r w:rsidRPr="0060264D">
              <w:rPr>
                <w:b/>
                <w:sz w:val="24"/>
                <w:szCs w:val="24"/>
              </w:rPr>
              <w:t>District</w:t>
            </w:r>
          </w:p>
        </w:tc>
        <w:tc>
          <w:tcPr>
            <w:tcW w:w="1701" w:type="dxa"/>
            <w:shd w:val="clear" w:color="auto" w:fill="D9D9D9" w:themeFill="background1" w:themeFillShade="D9"/>
            <w:vAlign w:val="center"/>
          </w:tcPr>
          <w:p w:rsidR="00EC18F2" w:rsidRPr="0060264D" w:rsidRDefault="005945A0" w:rsidP="00EC18F2">
            <w:pPr>
              <w:jc w:val="center"/>
              <w:rPr>
                <w:b/>
                <w:sz w:val="24"/>
                <w:szCs w:val="24"/>
              </w:rPr>
            </w:pPr>
            <w:r w:rsidRPr="0060264D">
              <w:rPr>
                <w:b/>
                <w:sz w:val="24"/>
                <w:szCs w:val="24"/>
              </w:rPr>
              <w:t>Division</w:t>
            </w:r>
          </w:p>
        </w:tc>
        <w:tc>
          <w:tcPr>
            <w:tcW w:w="7642" w:type="dxa"/>
            <w:shd w:val="clear" w:color="auto" w:fill="D9D9D9" w:themeFill="background1" w:themeFillShade="D9"/>
            <w:vAlign w:val="center"/>
          </w:tcPr>
          <w:p w:rsidR="00EC18F2" w:rsidRPr="0060264D" w:rsidRDefault="005945A0" w:rsidP="006D13F7">
            <w:pPr>
              <w:jc w:val="center"/>
              <w:rPr>
                <w:b/>
                <w:sz w:val="24"/>
                <w:szCs w:val="24"/>
              </w:rPr>
            </w:pPr>
            <w:r w:rsidRPr="0060264D">
              <w:rPr>
                <w:b/>
                <w:sz w:val="24"/>
                <w:szCs w:val="24"/>
              </w:rPr>
              <w:t>Project Description</w:t>
            </w:r>
          </w:p>
        </w:tc>
        <w:tc>
          <w:tcPr>
            <w:tcW w:w="1699" w:type="dxa"/>
            <w:shd w:val="clear" w:color="auto" w:fill="D9D9D9" w:themeFill="background1" w:themeFillShade="D9"/>
            <w:vAlign w:val="center"/>
          </w:tcPr>
          <w:p w:rsidR="00EC18F2" w:rsidRPr="0060264D" w:rsidRDefault="005945A0" w:rsidP="006D13F7">
            <w:pPr>
              <w:jc w:val="center"/>
              <w:rPr>
                <w:b/>
                <w:sz w:val="24"/>
                <w:szCs w:val="24"/>
              </w:rPr>
            </w:pPr>
            <w:r w:rsidRPr="0060264D">
              <w:rPr>
                <w:b/>
                <w:sz w:val="24"/>
                <w:szCs w:val="24"/>
              </w:rPr>
              <w:t>Total Cost</w:t>
            </w:r>
          </w:p>
        </w:tc>
      </w:tr>
      <w:tr w:rsidR="00DE4CD6" w:rsidTr="00DB5B78">
        <w:trPr>
          <w:trHeight w:val="984"/>
        </w:trPr>
        <w:tc>
          <w:tcPr>
            <w:tcW w:w="2269" w:type="dxa"/>
          </w:tcPr>
          <w:p w:rsidR="00EC18F2" w:rsidRPr="00440568" w:rsidRDefault="005945A0" w:rsidP="007D59F7">
            <w:pPr>
              <w:rPr>
                <w:rFonts w:ascii="Calibri" w:eastAsia="Times New Roman" w:hAnsi="Calibri" w:cs="Times New Roman"/>
                <w:color w:val="000000"/>
                <w:lang w:eastAsia="en-GB"/>
              </w:rPr>
            </w:pPr>
            <w:r w:rsidRPr="00440568">
              <w:rPr>
                <w:rFonts w:ascii="Calibri" w:eastAsia="Times New Roman" w:hAnsi="Calibri" w:cs="Times New Roman"/>
                <w:color w:val="000000"/>
                <w:lang w:eastAsia="en-GB"/>
              </w:rPr>
              <w:t>Ribbleton Avenue "Quiet way" bypass via Fletcher Road</w:t>
            </w:r>
          </w:p>
        </w:tc>
        <w:tc>
          <w:tcPr>
            <w:tcW w:w="1842" w:type="dxa"/>
          </w:tcPr>
          <w:p w:rsidR="00EC18F2" w:rsidRPr="0060264D" w:rsidRDefault="005945A0" w:rsidP="007D59F7">
            <w:pPr>
              <w:rPr>
                <w:color w:val="000000"/>
                <w:sz w:val="24"/>
                <w:szCs w:val="24"/>
              </w:rPr>
            </w:pPr>
            <w:r>
              <w:rPr>
                <w:rFonts w:ascii="Calibri" w:eastAsia="Times New Roman" w:hAnsi="Calibri" w:cs="Times New Roman"/>
                <w:color w:val="000000"/>
                <w:lang w:eastAsia="en-GB"/>
              </w:rPr>
              <w:t>Preston South East</w:t>
            </w:r>
          </w:p>
        </w:tc>
        <w:tc>
          <w:tcPr>
            <w:tcW w:w="1701" w:type="dxa"/>
          </w:tcPr>
          <w:p w:rsidR="00EC18F2" w:rsidRPr="0060264D" w:rsidRDefault="005945A0" w:rsidP="007D59F7">
            <w:pPr>
              <w:rPr>
                <w:color w:val="000000"/>
                <w:sz w:val="24"/>
                <w:szCs w:val="24"/>
              </w:rPr>
            </w:pPr>
            <w:r w:rsidRPr="00440568">
              <w:rPr>
                <w:rFonts w:ascii="Calibri" w:eastAsia="Times New Roman" w:hAnsi="Calibri" w:cs="Times New Roman"/>
                <w:color w:val="000000"/>
                <w:lang w:eastAsia="en-GB"/>
              </w:rPr>
              <w:t>Preston</w:t>
            </w:r>
          </w:p>
        </w:tc>
        <w:tc>
          <w:tcPr>
            <w:tcW w:w="7642" w:type="dxa"/>
          </w:tcPr>
          <w:p w:rsidR="00EC18F2" w:rsidRPr="00F40201" w:rsidRDefault="005945A0" w:rsidP="007D59F7">
            <w:pPr>
              <w:jc w:val="both"/>
            </w:pPr>
            <w:r>
              <w:t xml:space="preserve">This scheme will reduce cyclist collisions on both Ribbleton Lane and New Hall Lane by directing cyclists along quiet streets parallel to the major trafficked roads. The scheme introduces signage and on carriageway cycle symbols to aid navigation. </w:t>
            </w:r>
          </w:p>
        </w:tc>
        <w:tc>
          <w:tcPr>
            <w:tcW w:w="1699" w:type="dxa"/>
            <w:vAlign w:val="center"/>
          </w:tcPr>
          <w:p w:rsidR="00EC18F2" w:rsidRPr="00B1246C" w:rsidRDefault="005945A0" w:rsidP="00EC18F2">
            <w:pPr>
              <w:jc w:val="center"/>
            </w:pPr>
            <w:r w:rsidRPr="00B1246C">
              <w:t>£50,000</w:t>
            </w:r>
          </w:p>
        </w:tc>
      </w:tr>
      <w:tr w:rsidR="00DE4CD6" w:rsidTr="00DB5B78">
        <w:trPr>
          <w:trHeight w:val="830"/>
        </w:trPr>
        <w:tc>
          <w:tcPr>
            <w:tcW w:w="2269" w:type="dxa"/>
          </w:tcPr>
          <w:p w:rsidR="00EC18F2" w:rsidRPr="00440568" w:rsidRDefault="005945A0" w:rsidP="007D59F7">
            <w:pPr>
              <w:rPr>
                <w:rFonts w:ascii="Calibri" w:eastAsia="Times New Roman" w:hAnsi="Calibri" w:cs="Times New Roman"/>
                <w:color w:val="000000"/>
                <w:lang w:eastAsia="en-GB"/>
              </w:rPr>
            </w:pPr>
            <w:r w:rsidRPr="00440568">
              <w:rPr>
                <w:rFonts w:ascii="Calibri" w:eastAsia="Times New Roman" w:hAnsi="Calibri" w:cs="Times New Roman"/>
                <w:color w:val="000000"/>
                <w:lang w:eastAsia="en-GB"/>
              </w:rPr>
              <w:t>Westgate</w:t>
            </w:r>
          </w:p>
        </w:tc>
        <w:tc>
          <w:tcPr>
            <w:tcW w:w="1842" w:type="dxa"/>
          </w:tcPr>
          <w:p w:rsidR="00EC18F2" w:rsidRPr="0060264D" w:rsidRDefault="005945A0" w:rsidP="007D59F7">
            <w:pPr>
              <w:rPr>
                <w:color w:val="000000"/>
                <w:sz w:val="24"/>
                <w:szCs w:val="24"/>
              </w:rPr>
            </w:pPr>
            <w:r>
              <w:rPr>
                <w:rFonts w:ascii="Calibri" w:eastAsia="Times New Roman" w:hAnsi="Calibri" w:cs="Times New Roman"/>
                <w:color w:val="000000"/>
                <w:lang w:eastAsia="en-GB"/>
              </w:rPr>
              <w:t>Burnley Central West</w:t>
            </w:r>
          </w:p>
        </w:tc>
        <w:tc>
          <w:tcPr>
            <w:tcW w:w="1701" w:type="dxa"/>
          </w:tcPr>
          <w:p w:rsidR="00EC18F2" w:rsidRPr="0060264D" w:rsidRDefault="005945A0" w:rsidP="007D59F7">
            <w:pPr>
              <w:rPr>
                <w:color w:val="000000"/>
                <w:sz w:val="24"/>
                <w:szCs w:val="24"/>
              </w:rPr>
            </w:pPr>
            <w:r w:rsidRPr="00440568">
              <w:rPr>
                <w:rFonts w:ascii="Calibri" w:eastAsia="Times New Roman" w:hAnsi="Calibri" w:cs="Times New Roman"/>
                <w:color w:val="000000"/>
                <w:lang w:eastAsia="en-GB"/>
              </w:rPr>
              <w:t>Burnley</w:t>
            </w:r>
          </w:p>
        </w:tc>
        <w:tc>
          <w:tcPr>
            <w:tcW w:w="7642" w:type="dxa"/>
          </w:tcPr>
          <w:p w:rsidR="00EC18F2" w:rsidRPr="007D59F7" w:rsidRDefault="005945A0" w:rsidP="00EC301A">
            <w:pPr>
              <w:jc w:val="both"/>
            </w:pPr>
            <w:r>
              <w:t>This scheme will help cyclists be more visible to motorists that are turning right between Hattersley Street and Ashfield Road junctions. This will include the marking of advisory cycle lanes, and highlighting the lanes across junctions.</w:t>
            </w:r>
          </w:p>
        </w:tc>
        <w:tc>
          <w:tcPr>
            <w:tcW w:w="1699" w:type="dxa"/>
            <w:vAlign w:val="center"/>
          </w:tcPr>
          <w:p w:rsidR="00EC18F2" w:rsidRPr="00B1246C" w:rsidRDefault="005945A0" w:rsidP="00EC18F2">
            <w:pPr>
              <w:jc w:val="center"/>
            </w:pPr>
            <w:r w:rsidRPr="00B1246C">
              <w:t>£20,000</w:t>
            </w:r>
          </w:p>
        </w:tc>
      </w:tr>
      <w:tr w:rsidR="00DE4CD6" w:rsidTr="00DB5B78">
        <w:tc>
          <w:tcPr>
            <w:tcW w:w="2269" w:type="dxa"/>
          </w:tcPr>
          <w:p w:rsidR="00EC18F2" w:rsidRPr="00440568" w:rsidRDefault="005945A0" w:rsidP="007D59F7">
            <w:pPr>
              <w:rPr>
                <w:rFonts w:ascii="Calibri" w:eastAsia="Times New Roman" w:hAnsi="Calibri" w:cs="Times New Roman"/>
                <w:color w:val="000000"/>
                <w:lang w:eastAsia="en-GB"/>
              </w:rPr>
            </w:pPr>
            <w:r w:rsidRPr="00440568">
              <w:rPr>
                <w:rFonts w:ascii="Calibri" w:eastAsia="Times New Roman" w:hAnsi="Calibri" w:cs="Times New Roman"/>
                <w:color w:val="000000"/>
                <w:lang w:eastAsia="en-GB"/>
              </w:rPr>
              <w:t>St Andrews Road Cycle Contraflow</w:t>
            </w:r>
          </w:p>
        </w:tc>
        <w:tc>
          <w:tcPr>
            <w:tcW w:w="1842" w:type="dxa"/>
          </w:tcPr>
          <w:p w:rsidR="00EC18F2" w:rsidRPr="0060264D" w:rsidRDefault="005945A0" w:rsidP="007D59F7">
            <w:pPr>
              <w:rPr>
                <w:color w:val="000000"/>
                <w:sz w:val="24"/>
                <w:szCs w:val="24"/>
              </w:rPr>
            </w:pPr>
            <w:r>
              <w:rPr>
                <w:rFonts w:ascii="Calibri" w:eastAsia="Times New Roman" w:hAnsi="Calibri" w:cs="Times New Roman"/>
                <w:color w:val="000000"/>
                <w:lang w:eastAsia="en-GB"/>
              </w:rPr>
              <w:t>St Annes North and St Annes South</w:t>
            </w:r>
          </w:p>
        </w:tc>
        <w:tc>
          <w:tcPr>
            <w:tcW w:w="1701" w:type="dxa"/>
          </w:tcPr>
          <w:p w:rsidR="00EC18F2" w:rsidRPr="0060264D" w:rsidRDefault="005945A0" w:rsidP="007D59F7">
            <w:pPr>
              <w:rPr>
                <w:color w:val="000000"/>
                <w:sz w:val="24"/>
                <w:szCs w:val="24"/>
              </w:rPr>
            </w:pPr>
            <w:r w:rsidRPr="00440568">
              <w:rPr>
                <w:rFonts w:ascii="Calibri" w:eastAsia="Times New Roman" w:hAnsi="Calibri" w:cs="Times New Roman"/>
                <w:color w:val="000000"/>
                <w:lang w:eastAsia="en-GB"/>
              </w:rPr>
              <w:t>Fylde</w:t>
            </w:r>
          </w:p>
        </w:tc>
        <w:tc>
          <w:tcPr>
            <w:tcW w:w="7642" w:type="dxa"/>
          </w:tcPr>
          <w:p w:rsidR="00EC18F2" w:rsidRPr="00F40201" w:rsidRDefault="005945A0" w:rsidP="00EC301A">
            <w:pPr>
              <w:jc w:val="both"/>
            </w:pPr>
            <w:r>
              <w:t>Contraflow cycle lane on St Andrews Road from the junction with St Thomas Road to The Crescent that will improve access and safety into St Anne's town centre and the railway station. Comprises of signing and a mandatory contraflow cycle lane.</w:t>
            </w:r>
          </w:p>
        </w:tc>
        <w:tc>
          <w:tcPr>
            <w:tcW w:w="1699" w:type="dxa"/>
            <w:vAlign w:val="center"/>
          </w:tcPr>
          <w:p w:rsidR="00EC18F2" w:rsidRPr="00B1246C" w:rsidRDefault="005945A0" w:rsidP="00EC18F2">
            <w:pPr>
              <w:jc w:val="center"/>
            </w:pPr>
            <w:r w:rsidRPr="00B1246C">
              <w:t>£10,000</w:t>
            </w:r>
          </w:p>
        </w:tc>
      </w:tr>
      <w:tr w:rsidR="00DE4CD6" w:rsidTr="00DB5B78">
        <w:trPr>
          <w:trHeight w:val="630"/>
        </w:trPr>
        <w:tc>
          <w:tcPr>
            <w:tcW w:w="2269" w:type="dxa"/>
          </w:tcPr>
          <w:p w:rsidR="00EC18F2" w:rsidRPr="00440568" w:rsidRDefault="005945A0" w:rsidP="007D59F7">
            <w:pPr>
              <w:rPr>
                <w:rFonts w:ascii="Calibri" w:eastAsia="Times New Roman" w:hAnsi="Calibri" w:cs="Times New Roman"/>
                <w:color w:val="000000"/>
                <w:lang w:eastAsia="en-GB"/>
              </w:rPr>
            </w:pPr>
            <w:r w:rsidRPr="00440568">
              <w:rPr>
                <w:rFonts w:ascii="Calibri" w:eastAsia="Times New Roman" w:hAnsi="Calibri" w:cs="Times New Roman"/>
                <w:color w:val="000000"/>
                <w:lang w:eastAsia="en-GB"/>
              </w:rPr>
              <w:t>North Clifton Street Cycle Contraflow</w:t>
            </w:r>
          </w:p>
        </w:tc>
        <w:tc>
          <w:tcPr>
            <w:tcW w:w="1842" w:type="dxa"/>
          </w:tcPr>
          <w:p w:rsidR="00EC18F2" w:rsidRPr="0060264D" w:rsidRDefault="005945A0" w:rsidP="007D59F7">
            <w:pPr>
              <w:rPr>
                <w:color w:val="000000"/>
                <w:sz w:val="24"/>
                <w:szCs w:val="24"/>
              </w:rPr>
            </w:pPr>
            <w:r>
              <w:rPr>
                <w:rFonts w:ascii="Calibri" w:eastAsia="Times New Roman" w:hAnsi="Calibri" w:cs="Times New Roman"/>
                <w:color w:val="000000"/>
                <w:lang w:eastAsia="en-GB"/>
              </w:rPr>
              <w:t>St Annes North</w:t>
            </w:r>
          </w:p>
        </w:tc>
        <w:tc>
          <w:tcPr>
            <w:tcW w:w="1701" w:type="dxa"/>
          </w:tcPr>
          <w:p w:rsidR="00EC18F2" w:rsidRPr="0060264D" w:rsidRDefault="005945A0" w:rsidP="007D59F7">
            <w:pPr>
              <w:rPr>
                <w:color w:val="000000"/>
                <w:sz w:val="24"/>
                <w:szCs w:val="24"/>
              </w:rPr>
            </w:pPr>
            <w:r w:rsidRPr="00440568">
              <w:rPr>
                <w:rFonts w:ascii="Calibri" w:eastAsia="Times New Roman" w:hAnsi="Calibri" w:cs="Times New Roman"/>
                <w:color w:val="000000"/>
                <w:lang w:eastAsia="en-GB"/>
              </w:rPr>
              <w:t>Fylde</w:t>
            </w:r>
          </w:p>
        </w:tc>
        <w:tc>
          <w:tcPr>
            <w:tcW w:w="7642" w:type="dxa"/>
          </w:tcPr>
          <w:p w:rsidR="00EC18F2" w:rsidRPr="00F40201" w:rsidRDefault="005945A0" w:rsidP="007D59F7">
            <w:pPr>
              <w:jc w:val="both"/>
              <w:rPr>
                <w:color w:val="000000"/>
                <w:lang w:eastAsia="en-GB"/>
              </w:rPr>
            </w:pPr>
            <w:r>
              <w:rPr>
                <w:color w:val="000000"/>
                <w:lang w:eastAsia="en-GB"/>
              </w:rPr>
              <w:t>Cycle contraflow that improves safety between Clifton Street and Westby Street in Lytham. Comprised of signing and cycle symbols on the carriageway.</w:t>
            </w:r>
          </w:p>
        </w:tc>
        <w:tc>
          <w:tcPr>
            <w:tcW w:w="1699" w:type="dxa"/>
            <w:vAlign w:val="center"/>
          </w:tcPr>
          <w:p w:rsidR="00EC18F2" w:rsidRPr="00B1246C" w:rsidRDefault="005945A0" w:rsidP="00EC18F2">
            <w:pPr>
              <w:jc w:val="center"/>
            </w:pPr>
            <w:r w:rsidRPr="00B1246C">
              <w:t>£10,000</w:t>
            </w:r>
          </w:p>
        </w:tc>
      </w:tr>
      <w:tr w:rsidR="00DE4CD6" w:rsidTr="00DB5B78">
        <w:trPr>
          <w:trHeight w:val="948"/>
        </w:trPr>
        <w:tc>
          <w:tcPr>
            <w:tcW w:w="2269" w:type="dxa"/>
          </w:tcPr>
          <w:p w:rsidR="00EC18F2" w:rsidRPr="00440568" w:rsidRDefault="005945A0" w:rsidP="007D59F7">
            <w:pPr>
              <w:rPr>
                <w:rFonts w:ascii="Calibri" w:eastAsia="Times New Roman" w:hAnsi="Calibri" w:cs="Times New Roman"/>
                <w:color w:val="000000"/>
                <w:lang w:eastAsia="en-GB"/>
              </w:rPr>
            </w:pPr>
            <w:r w:rsidRPr="00440568">
              <w:rPr>
                <w:rFonts w:ascii="Calibri" w:eastAsia="Times New Roman" w:hAnsi="Calibri" w:cs="Times New Roman"/>
                <w:color w:val="000000"/>
                <w:lang w:eastAsia="en-GB"/>
              </w:rPr>
              <w:t>Maplewood Close</w:t>
            </w:r>
          </w:p>
        </w:tc>
        <w:tc>
          <w:tcPr>
            <w:tcW w:w="1842" w:type="dxa"/>
          </w:tcPr>
          <w:p w:rsidR="00EC18F2" w:rsidRPr="0060264D" w:rsidRDefault="005945A0" w:rsidP="007D59F7">
            <w:pPr>
              <w:rPr>
                <w:color w:val="000000"/>
                <w:sz w:val="24"/>
                <w:szCs w:val="24"/>
              </w:rPr>
            </w:pPr>
            <w:r>
              <w:rPr>
                <w:rFonts w:ascii="Calibri" w:eastAsia="Times New Roman" w:hAnsi="Calibri" w:cs="Times New Roman"/>
                <w:color w:val="000000"/>
                <w:lang w:eastAsia="en-GB"/>
              </w:rPr>
              <w:t>Lytham</w:t>
            </w:r>
          </w:p>
        </w:tc>
        <w:tc>
          <w:tcPr>
            <w:tcW w:w="1701" w:type="dxa"/>
          </w:tcPr>
          <w:p w:rsidR="00EC18F2" w:rsidRPr="0060264D" w:rsidRDefault="005945A0" w:rsidP="007D59F7">
            <w:pPr>
              <w:rPr>
                <w:color w:val="000000"/>
                <w:sz w:val="24"/>
                <w:szCs w:val="24"/>
              </w:rPr>
            </w:pPr>
            <w:r w:rsidRPr="00440568">
              <w:rPr>
                <w:rFonts w:ascii="Calibri" w:eastAsia="Times New Roman" w:hAnsi="Calibri" w:cs="Times New Roman"/>
                <w:color w:val="000000"/>
                <w:lang w:eastAsia="en-GB"/>
              </w:rPr>
              <w:t>Fylde</w:t>
            </w:r>
          </w:p>
        </w:tc>
        <w:tc>
          <w:tcPr>
            <w:tcW w:w="7642" w:type="dxa"/>
          </w:tcPr>
          <w:p w:rsidR="005945A0" w:rsidRDefault="005945A0" w:rsidP="005945A0">
            <w:pPr>
              <w:jc w:val="both"/>
              <w:rPr>
                <w:color w:val="000000"/>
                <w:lang w:eastAsia="en-GB"/>
              </w:rPr>
            </w:pPr>
            <w:r>
              <w:rPr>
                <w:color w:val="000000"/>
                <w:lang w:eastAsia="en-GB"/>
              </w:rPr>
              <w:t>This scheme will assist cyclists accessing Lytham Railway Station and Lytham Hall Park Primary School by opening up a quieter, safer route to both destinations along Broadwood Way and South Park. Bypassing the busier roads of Forest Drive to the north and Blackpool Road/Church Road to the south.</w:t>
            </w:r>
          </w:p>
          <w:p w:rsidR="00EC18F2" w:rsidRPr="00F40201" w:rsidRDefault="005945A0" w:rsidP="005945A0">
            <w:pPr>
              <w:jc w:val="both"/>
              <w:rPr>
                <w:color w:val="000000"/>
                <w:lang w:eastAsia="en-GB"/>
              </w:rPr>
            </w:pPr>
            <w:r>
              <w:rPr>
                <w:color w:val="000000"/>
                <w:lang w:eastAsia="en-GB"/>
              </w:rPr>
              <w:t>Measures include the removal of barriers that currently prevent cycling, and installing dropped kerbs.</w:t>
            </w:r>
          </w:p>
        </w:tc>
        <w:tc>
          <w:tcPr>
            <w:tcW w:w="1699" w:type="dxa"/>
            <w:vAlign w:val="center"/>
          </w:tcPr>
          <w:p w:rsidR="00EC18F2" w:rsidRPr="00B1246C" w:rsidRDefault="005945A0" w:rsidP="00EC18F2">
            <w:pPr>
              <w:jc w:val="center"/>
            </w:pPr>
            <w:r w:rsidRPr="00B1246C">
              <w:t>£10,000</w:t>
            </w:r>
          </w:p>
        </w:tc>
      </w:tr>
      <w:tr w:rsidR="00DE4CD6" w:rsidTr="00DB5B78">
        <w:trPr>
          <w:trHeight w:val="1129"/>
        </w:trPr>
        <w:tc>
          <w:tcPr>
            <w:tcW w:w="2269" w:type="dxa"/>
          </w:tcPr>
          <w:p w:rsidR="00EC18F2" w:rsidRPr="00440568" w:rsidRDefault="005945A0" w:rsidP="007D59F7">
            <w:pPr>
              <w:rPr>
                <w:rFonts w:ascii="Calibri" w:eastAsia="Times New Roman" w:hAnsi="Calibri" w:cs="Times New Roman"/>
                <w:color w:val="000000"/>
                <w:lang w:eastAsia="en-GB"/>
              </w:rPr>
            </w:pPr>
            <w:r w:rsidRPr="00440568">
              <w:rPr>
                <w:rFonts w:ascii="Calibri" w:eastAsia="Times New Roman" w:hAnsi="Calibri" w:cs="Times New Roman"/>
                <w:color w:val="000000"/>
                <w:lang w:eastAsia="en-GB"/>
              </w:rPr>
              <w:t>Bridleway upgrade contribution, Winery Lane to the Old Tram Bridge</w:t>
            </w:r>
          </w:p>
        </w:tc>
        <w:tc>
          <w:tcPr>
            <w:tcW w:w="1842" w:type="dxa"/>
          </w:tcPr>
          <w:p w:rsidR="00EC18F2" w:rsidRPr="0060264D" w:rsidRDefault="005945A0" w:rsidP="007D59F7">
            <w:pPr>
              <w:rPr>
                <w:color w:val="000000"/>
                <w:sz w:val="24"/>
                <w:szCs w:val="24"/>
              </w:rPr>
            </w:pPr>
            <w:r>
              <w:rPr>
                <w:rFonts w:ascii="Calibri" w:eastAsia="Times New Roman" w:hAnsi="Calibri" w:cs="Times New Roman"/>
                <w:color w:val="000000"/>
                <w:lang w:eastAsia="en-GB"/>
              </w:rPr>
              <w:t>Penwortham East and Walton le Dale</w:t>
            </w:r>
          </w:p>
        </w:tc>
        <w:tc>
          <w:tcPr>
            <w:tcW w:w="1701" w:type="dxa"/>
          </w:tcPr>
          <w:p w:rsidR="00EC18F2" w:rsidRPr="0060264D" w:rsidRDefault="005945A0" w:rsidP="007D59F7">
            <w:pPr>
              <w:rPr>
                <w:color w:val="000000"/>
                <w:sz w:val="24"/>
                <w:szCs w:val="24"/>
              </w:rPr>
            </w:pPr>
            <w:r w:rsidRPr="00440568">
              <w:rPr>
                <w:rFonts w:ascii="Calibri" w:eastAsia="Times New Roman" w:hAnsi="Calibri" w:cs="Times New Roman"/>
                <w:color w:val="000000"/>
                <w:lang w:eastAsia="en-GB"/>
              </w:rPr>
              <w:t>South Ribble</w:t>
            </w:r>
          </w:p>
        </w:tc>
        <w:tc>
          <w:tcPr>
            <w:tcW w:w="7642" w:type="dxa"/>
          </w:tcPr>
          <w:p w:rsidR="00EC18F2" w:rsidRPr="007D59F7" w:rsidRDefault="005945A0" w:rsidP="005C7F7B">
            <w:pPr>
              <w:jc w:val="both"/>
            </w:pPr>
            <w:r>
              <w:t xml:space="preserve">This project </w:t>
            </w:r>
            <w:r w:rsidR="005C7F7B">
              <w:t>comprises an u</w:t>
            </w:r>
            <w:r>
              <w:t xml:space="preserve">pgrade of </w:t>
            </w:r>
            <w:r w:rsidR="005C7F7B">
              <w:t xml:space="preserve">a </w:t>
            </w:r>
            <w:r>
              <w:t>bridleway from Winery Lane to the Old Tram Bridge in Avenham Park directing cyclists off the major trafficked roads, and therefore reducing collisions.</w:t>
            </w:r>
            <w:r w:rsidR="005C7F7B">
              <w:t xml:space="preserve"> The additional funding will be provided from the Public Rights of Way capital allocation.</w:t>
            </w:r>
          </w:p>
        </w:tc>
        <w:tc>
          <w:tcPr>
            <w:tcW w:w="1699" w:type="dxa"/>
            <w:vAlign w:val="center"/>
          </w:tcPr>
          <w:p w:rsidR="00EC18F2" w:rsidRPr="00B1246C" w:rsidRDefault="005945A0" w:rsidP="00EC18F2">
            <w:pPr>
              <w:jc w:val="center"/>
            </w:pPr>
            <w:r w:rsidRPr="00B1246C">
              <w:t>£80,000</w:t>
            </w:r>
          </w:p>
        </w:tc>
      </w:tr>
      <w:tr w:rsidR="00DE4CD6" w:rsidTr="00DB5B78">
        <w:trPr>
          <w:trHeight w:val="1120"/>
        </w:trPr>
        <w:tc>
          <w:tcPr>
            <w:tcW w:w="2269" w:type="dxa"/>
          </w:tcPr>
          <w:p w:rsidR="00EC18F2" w:rsidRPr="00440568" w:rsidRDefault="005945A0" w:rsidP="007D59F7">
            <w:pPr>
              <w:rPr>
                <w:rFonts w:ascii="Calibri" w:eastAsia="Times New Roman" w:hAnsi="Calibri" w:cs="Times New Roman"/>
                <w:color w:val="000000"/>
                <w:lang w:eastAsia="en-GB"/>
              </w:rPr>
            </w:pPr>
            <w:r w:rsidRPr="00440568">
              <w:rPr>
                <w:rFonts w:ascii="Calibri" w:eastAsia="Times New Roman" w:hAnsi="Calibri" w:cs="Times New Roman"/>
                <w:color w:val="000000"/>
                <w:lang w:eastAsia="en-GB"/>
              </w:rPr>
              <w:t>New Hall Lane "Quiet way"  bypass via Fishwick Parade</w:t>
            </w:r>
          </w:p>
        </w:tc>
        <w:tc>
          <w:tcPr>
            <w:tcW w:w="1842" w:type="dxa"/>
          </w:tcPr>
          <w:p w:rsidR="00EC18F2" w:rsidRPr="0060264D" w:rsidRDefault="005945A0" w:rsidP="007D59F7">
            <w:pPr>
              <w:rPr>
                <w:color w:val="000000"/>
                <w:sz w:val="24"/>
                <w:szCs w:val="24"/>
              </w:rPr>
            </w:pPr>
            <w:r>
              <w:rPr>
                <w:rFonts w:ascii="Calibri" w:eastAsia="Times New Roman" w:hAnsi="Calibri" w:cs="Times New Roman"/>
                <w:color w:val="000000"/>
                <w:lang w:eastAsia="en-GB"/>
              </w:rPr>
              <w:t>Preston South East</w:t>
            </w:r>
          </w:p>
        </w:tc>
        <w:tc>
          <w:tcPr>
            <w:tcW w:w="1701" w:type="dxa"/>
          </w:tcPr>
          <w:p w:rsidR="00EC18F2" w:rsidRPr="0060264D" w:rsidRDefault="005945A0" w:rsidP="007D59F7">
            <w:pPr>
              <w:rPr>
                <w:color w:val="000000"/>
                <w:sz w:val="24"/>
                <w:szCs w:val="24"/>
              </w:rPr>
            </w:pPr>
            <w:r w:rsidRPr="00440568">
              <w:rPr>
                <w:rFonts w:ascii="Calibri" w:eastAsia="Times New Roman" w:hAnsi="Calibri" w:cs="Times New Roman"/>
                <w:color w:val="000000"/>
                <w:lang w:eastAsia="en-GB"/>
              </w:rPr>
              <w:t>Preston</w:t>
            </w:r>
          </w:p>
        </w:tc>
        <w:tc>
          <w:tcPr>
            <w:tcW w:w="7642" w:type="dxa"/>
          </w:tcPr>
          <w:p w:rsidR="00EC18F2" w:rsidRPr="00440568" w:rsidRDefault="005945A0" w:rsidP="00EC301A">
            <w:pPr>
              <w:jc w:val="both"/>
              <w:rPr>
                <w:rFonts w:ascii="Calibri" w:eastAsia="Times New Roman" w:hAnsi="Calibri" w:cs="Times New Roman"/>
                <w:color w:val="000000"/>
                <w:lang w:eastAsia="en-GB"/>
              </w:rPr>
            </w:pPr>
            <w:r>
              <w:t>This scheme will reduce cyclist collisions on Ribbleton Lane and New Hall Lane by directing cyclists along quiet streets parallel to the major trafficked roads. The scheme introduces signage and on carriageway cycle symbols to aid navigation.</w:t>
            </w:r>
          </w:p>
        </w:tc>
        <w:tc>
          <w:tcPr>
            <w:tcW w:w="1699" w:type="dxa"/>
            <w:vAlign w:val="center"/>
          </w:tcPr>
          <w:p w:rsidR="00EC18F2" w:rsidRPr="00B1246C" w:rsidRDefault="005945A0" w:rsidP="00EC18F2">
            <w:pPr>
              <w:jc w:val="center"/>
            </w:pPr>
            <w:r w:rsidRPr="00B1246C">
              <w:t>£150,000</w:t>
            </w:r>
          </w:p>
        </w:tc>
      </w:tr>
      <w:tr w:rsidR="00DE4CD6" w:rsidTr="00DB5B78">
        <w:trPr>
          <w:trHeight w:val="998"/>
        </w:trPr>
        <w:tc>
          <w:tcPr>
            <w:tcW w:w="2269" w:type="dxa"/>
          </w:tcPr>
          <w:p w:rsidR="00EC18F2" w:rsidRPr="00440568" w:rsidRDefault="005945A0" w:rsidP="007D59F7">
            <w:pPr>
              <w:rPr>
                <w:rFonts w:ascii="Calibri" w:eastAsia="Times New Roman" w:hAnsi="Calibri" w:cs="Times New Roman"/>
                <w:color w:val="000000"/>
                <w:lang w:eastAsia="en-GB"/>
              </w:rPr>
            </w:pPr>
            <w:r>
              <w:rPr>
                <w:rFonts w:ascii="Calibri" w:eastAsia="Times New Roman" w:hAnsi="Calibri" w:cs="Times New Roman"/>
                <w:color w:val="000000"/>
                <w:lang w:eastAsia="en-GB"/>
              </w:rPr>
              <w:t>Longridge Line U</w:t>
            </w:r>
            <w:r w:rsidRPr="00440568">
              <w:rPr>
                <w:rFonts w:ascii="Calibri" w:eastAsia="Times New Roman" w:hAnsi="Calibri" w:cs="Times New Roman"/>
                <w:color w:val="000000"/>
                <w:lang w:eastAsia="en-GB"/>
              </w:rPr>
              <w:t>pgrade</w:t>
            </w:r>
          </w:p>
        </w:tc>
        <w:tc>
          <w:tcPr>
            <w:tcW w:w="1842" w:type="dxa"/>
          </w:tcPr>
          <w:p w:rsidR="00EC18F2" w:rsidRPr="0060264D" w:rsidRDefault="005945A0" w:rsidP="007D59F7">
            <w:pPr>
              <w:rPr>
                <w:color w:val="000000"/>
                <w:sz w:val="24"/>
                <w:szCs w:val="24"/>
              </w:rPr>
            </w:pPr>
            <w:r>
              <w:rPr>
                <w:rFonts w:ascii="Calibri" w:eastAsia="Times New Roman" w:hAnsi="Calibri" w:cs="Times New Roman"/>
                <w:color w:val="000000"/>
                <w:lang w:eastAsia="en-GB"/>
              </w:rPr>
              <w:t>Preston East</w:t>
            </w:r>
          </w:p>
        </w:tc>
        <w:tc>
          <w:tcPr>
            <w:tcW w:w="1701" w:type="dxa"/>
          </w:tcPr>
          <w:p w:rsidR="00EC18F2" w:rsidRPr="0060264D" w:rsidRDefault="005945A0" w:rsidP="007D59F7">
            <w:pPr>
              <w:rPr>
                <w:color w:val="000000"/>
                <w:sz w:val="24"/>
                <w:szCs w:val="24"/>
              </w:rPr>
            </w:pPr>
            <w:r w:rsidRPr="00440568">
              <w:rPr>
                <w:rFonts w:ascii="Calibri" w:eastAsia="Times New Roman" w:hAnsi="Calibri" w:cs="Times New Roman"/>
                <w:color w:val="000000"/>
                <w:lang w:eastAsia="en-GB"/>
              </w:rPr>
              <w:t>Preston</w:t>
            </w:r>
          </w:p>
        </w:tc>
        <w:tc>
          <w:tcPr>
            <w:tcW w:w="7642" w:type="dxa"/>
          </w:tcPr>
          <w:p w:rsidR="00EC18F2" w:rsidRPr="00F40201" w:rsidRDefault="005945A0" w:rsidP="00EC301A">
            <w:pPr>
              <w:jc w:val="both"/>
            </w:pPr>
            <w:r>
              <w:t>This scheme is an upgrade to the existing cycle track to reduce collisions on adjacent roads. Works will include improved signage, a pedestrian/cyclist crossing at Gamull Lane, and improved access to the cycle track.</w:t>
            </w:r>
          </w:p>
        </w:tc>
        <w:tc>
          <w:tcPr>
            <w:tcW w:w="1699" w:type="dxa"/>
            <w:vAlign w:val="center"/>
          </w:tcPr>
          <w:p w:rsidR="00EC18F2" w:rsidRDefault="005945A0" w:rsidP="00EC18F2">
            <w:pPr>
              <w:jc w:val="center"/>
            </w:pPr>
            <w:r w:rsidRPr="00B1246C">
              <w:t>£150,000</w:t>
            </w:r>
          </w:p>
        </w:tc>
      </w:tr>
      <w:tr w:rsidR="00DE4CD6" w:rsidTr="00DB5B78">
        <w:trPr>
          <w:trHeight w:val="681"/>
        </w:trPr>
        <w:tc>
          <w:tcPr>
            <w:tcW w:w="2269" w:type="dxa"/>
          </w:tcPr>
          <w:p w:rsidR="00EC18F2" w:rsidRPr="008D68B7" w:rsidRDefault="005945A0" w:rsidP="007D59F7">
            <w:r>
              <w:t>Pipeline Project D</w:t>
            </w:r>
            <w:r w:rsidRPr="008D68B7">
              <w:t>evelopment</w:t>
            </w:r>
          </w:p>
        </w:tc>
        <w:tc>
          <w:tcPr>
            <w:tcW w:w="1842" w:type="dxa"/>
          </w:tcPr>
          <w:p w:rsidR="00EC18F2" w:rsidRPr="0060264D" w:rsidRDefault="005945A0" w:rsidP="007D59F7">
            <w:pPr>
              <w:rPr>
                <w:color w:val="000000"/>
                <w:sz w:val="24"/>
                <w:szCs w:val="24"/>
              </w:rPr>
            </w:pPr>
            <w:r w:rsidRPr="008D68B7">
              <w:t>Countywide</w:t>
            </w:r>
            <w:r>
              <w:t xml:space="preserve"> as necessary</w:t>
            </w:r>
          </w:p>
        </w:tc>
        <w:tc>
          <w:tcPr>
            <w:tcW w:w="1701" w:type="dxa"/>
          </w:tcPr>
          <w:p w:rsidR="00EC18F2" w:rsidRPr="0060264D" w:rsidRDefault="005945A0" w:rsidP="007D59F7">
            <w:pPr>
              <w:rPr>
                <w:color w:val="000000"/>
                <w:sz w:val="24"/>
                <w:szCs w:val="24"/>
              </w:rPr>
            </w:pPr>
            <w:r w:rsidRPr="008D68B7">
              <w:t>Countywide</w:t>
            </w:r>
            <w:r>
              <w:t xml:space="preserve"> as necessary</w:t>
            </w:r>
          </w:p>
        </w:tc>
        <w:tc>
          <w:tcPr>
            <w:tcW w:w="7642" w:type="dxa"/>
          </w:tcPr>
          <w:p w:rsidR="00EC18F2" w:rsidRPr="00440568" w:rsidRDefault="005945A0" w:rsidP="00EC301A">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This budget will</w:t>
            </w:r>
            <w:r w:rsidRPr="00440568">
              <w:rPr>
                <w:rFonts w:ascii="Calibri" w:eastAsia="Times New Roman" w:hAnsi="Calibri" w:cs="Times New Roman"/>
                <w:color w:val="000000"/>
                <w:lang w:eastAsia="en-GB"/>
              </w:rPr>
              <w:t xml:space="preserve"> enable initial design work</w:t>
            </w:r>
            <w:r>
              <w:rPr>
                <w:rFonts w:ascii="Calibri" w:eastAsia="Times New Roman" w:hAnsi="Calibri" w:cs="Times New Roman"/>
                <w:color w:val="000000"/>
                <w:lang w:eastAsia="en-GB"/>
              </w:rPr>
              <w:t>s</w:t>
            </w:r>
            <w:r w:rsidRPr="00440568">
              <w:rPr>
                <w:rFonts w:ascii="Calibri" w:eastAsia="Times New Roman" w:hAnsi="Calibri" w:cs="Times New Roman"/>
                <w:color w:val="000000"/>
                <w:lang w:eastAsia="en-GB"/>
              </w:rPr>
              <w:t xml:space="preserve"> to be undertaken on the proposed schemes currently </w:t>
            </w:r>
            <w:r>
              <w:rPr>
                <w:rFonts w:ascii="Calibri" w:eastAsia="Times New Roman" w:hAnsi="Calibri" w:cs="Times New Roman"/>
                <w:color w:val="000000"/>
                <w:lang w:eastAsia="en-GB"/>
              </w:rPr>
              <w:t xml:space="preserve">being reviewed </w:t>
            </w:r>
            <w:r w:rsidRPr="00440568">
              <w:rPr>
                <w:rFonts w:ascii="Calibri" w:eastAsia="Times New Roman" w:hAnsi="Calibri" w:cs="Times New Roman"/>
                <w:color w:val="000000"/>
                <w:lang w:eastAsia="en-GB"/>
              </w:rPr>
              <w:t>for 2018-19 capital programme.</w:t>
            </w:r>
          </w:p>
        </w:tc>
        <w:tc>
          <w:tcPr>
            <w:tcW w:w="1699" w:type="dxa"/>
            <w:vAlign w:val="center"/>
          </w:tcPr>
          <w:p w:rsidR="00EC18F2" w:rsidRPr="00B1246C" w:rsidRDefault="005945A0" w:rsidP="00EC18F2">
            <w:pPr>
              <w:jc w:val="center"/>
            </w:pPr>
            <w:r>
              <w:t>£20,000</w:t>
            </w:r>
          </w:p>
        </w:tc>
      </w:tr>
      <w:tr w:rsidR="00DE4CD6" w:rsidTr="007D59F7">
        <w:trPr>
          <w:trHeight w:val="491"/>
        </w:trPr>
        <w:tc>
          <w:tcPr>
            <w:tcW w:w="13454" w:type="dxa"/>
            <w:gridSpan w:val="4"/>
            <w:shd w:val="clear" w:color="auto" w:fill="D9D9D9" w:themeFill="background1" w:themeFillShade="D9"/>
            <w:vAlign w:val="center"/>
          </w:tcPr>
          <w:p w:rsidR="007D59F7" w:rsidRPr="007D59F7" w:rsidRDefault="005945A0" w:rsidP="007D59F7">
            <w:pPr>
              <w:jc w:val="right"/>
              <w:rPr>
                <w:rFonts w:ascii="Calibri" w:eastAsia="Times New Roman" w:hAnsi="Calibri" w:cs="Times New Roman"/>
                <w:b/>
                <w:color w:val="000000"/>
                <w:sz w:val="24"/>
                <w:szCs w:val="24"/>
                <w:lang w:eastAsia="en-GB"/>
              </w:rPr>
            </w:pPr>
            <w:r w:rsidRPr="007D59F7">
              <w:rPr>
                <w:rFonts w:ascii="Calibri" w:eastAsia="Times New Roman" w:hAnsi="Calibri" w:cs="Times New Roman"/>
                <w:b/>
                <w:color w:val="000000"/>
                <w:sz w:val="24"/>
                <w:szCs w:val="24"/>
                <w:lang w:eastAsia="en-GB"/>
              </w:rPr>
              <w:t>Total:</w:t>
            </w:r>
          </w:p>
        </w:tc>
        <w:tc>
          <w:tcPr>
            <w:tcW w:w="1699" w:type="dxa"/>
            <w:shd w:val="clear" w:color="auto" w:fill="D9D9D9" w:themeFill="background1" w:themeFillShade="D9"/>
            <w:vAlign w:val="center"/>
          </w:tcPr>
          <w:p w:rsidR="007D59F7" w:rsidRPr="00534F04" w:rsidRDefault="005945A0" w:rsidP="007D59F7">
            <w:pPr>
              <w:jc w:val="center"/>
              <w:rPr>
                <w:b/>
                <w:sz w:val="24"/>
                <w:szCs w:val="24"/>
              </w:rPr>
            </w:pPr>
            <w:r w:rsidRPr="00534F04">
              <w:rPr>
                <w:b/>
                <w:sz w:val="24"/>
                <w:szCs w:val="24"/>
              </w:rPr>
              <w:t>£500,000</w:t>
            </w:r>
          </w:p>
        </w:tc>
      </w:tr>
    </w:tbl>
    <w:p w:rsidR="00524323" w:rsidRDefault="00E4484A"/>
    <w:sectPr w:rsidR="00524323" w:rsidSect="00524323">
      <w:pgSz w:w="16838" w:h="11906" w:orient="landscape"/>
      <w:pgMar w:top="709"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D6"/>
    <w:rsid w:val="005945A0"/>
    <w:rsid w:val="005C7F7B"/>
    <w:rsid w:val="00DE4CD6"/>
    <w:rsid w:val="00E44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5ED41-D596-457B-9787-8DECCABC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 Hussein</dc:creator>
  <cp:lastModifiedBy>Maya Evenson</cp:lastModifiedBy>
  <cp:revision>13</cp:revision>
  <dcterms:created xsi:type="dcterms:W3CDTF">2017-12-19T11:04:00Z</dcterms:created>
  <dcterms:modified xsi:type="dcterms:W3CDTF">2017-12-29T11:46:00Z</dcterms:modified>
</cp:coreProperties>
</file>